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73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-91439</wp:posOffset>
                </wp:positionH>
                <wp:positionV relativeFrom="paragraph">
                  <wp:posOffset>-203834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-7.20pt;mso-position-horizontal:absolute;mso-position-vertical-relative:text;margin-top:-16.05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3"/>
        <w:jc w:val="right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rPr>
          <w:rStyle w:val="739"/>
          <w:bCs/>
          <w:sz w:val="28"/>
          <w:szCs w:val="28"/>
        </w:rPr>
      </w:pPr>
      <w:r>
        <w:rPr>
          <w:rStyle w:val="739"/>
          <w:b/>
          <w:bCs/>
          <w:sz w:val="28"/>
          <w:szCs w:val="28"/>
        </w:rPr>
        <w:t xml:space="preserve">1</w:t>
      </w:r>
      <w:r>
        <w:rPr>
          <w:rStyle w:val="739"/>
          <w:b/>
          <w:bCs/>
          <w:sz w:val="28"/>
          <w:szCs w:val="28"/>
        </w:rPr>
        <w:t xml:space="preserve">9</w:t>
      </w:r>
      <w:r>
        <w:rPr>
          <w:rStyle w:val="739"/>
          <w:b/>
          <w:bCs/>
          <w:sz w:val="28"/>
          <w:szCs w:val="28"/>
        </w:rPr>
        <w:t xml:space="preserve">.</w:t>
      </w:r>
      <w:r>
        <w:rPr>
          <w:rStyle w:val="739"/>
          <w:b/>
          <w:bCs/>
          <w:sz w:val="28"/>
          <w:szCs w:val="28"/>
        </w:rPr>
        <w:t xml:space="preserve">0</w:t>
      </w:r>
      <w:r>
        <w:rPr>
          <w:rStyle w:val="739"/>
          <w:b/>
          <w:bCs/>
          <w:sz w:val="28"/>
          <w:szCs w:val="28"/>
        </w:rPr>
        <w:t xml:space="preserve">2</w:t>
      </w:r>
      <w:r>
        <w:rPr>
          <w:rStyle w:val="739"/>
          <w:b/>
          <w:bCs/>
          <w:sz w:val="28"/>
          <w:szCs w:val="28"/>
        </w:rPr>
        <w:t xml:space="preserve">.2</w:t>
      </w:r>
      <w:r>
        <w:rPr>
          <w:rStyle w:val="739"/>
          <w:b/>
          <w:bCs/>
          <w:sz w:val="28"/>
          <w:szCs w:val="28"/>
        </w:rPr>
        <w:t xml:space="preserve">02</w:t>
      </w:r>
      <w:r>
        <w:rPr>
          <w:rStyle w:val="739"/>
          <w:b/>
          <w:bCs/>
          <w:sz w:val="28"/>
          <w:szCs w:val="28"/>
        </w:rPr>
        <w:t xml:space="preserve">5</w:t>
      </w:r>
      <w:r>
        <w:rPr>
          <w:rStyle w:val="739"/>
          <w:bCs/>
          <w:sz w:val="28"/>
          <w:szCs w:val="28"/>
        </w:rPr>
      </w:r>
      <w:r>
        <w:rPr>
          <w:rStyle w:val="739"/>
          <w:bCs/>
          <w:sz w:val="28"/>
          <w:szCs w:val="28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  <w:shd w:val="clear" w:color="auto" w:fill="ffffff"/>
        </w:rPr>
      </w:pPr>
      <w:r>
        <w:rPr>
          <w:rStyle w:val="739"/>
          <w:bCs/>
          <w:sz w:val="28"/>
          <w:szCs w:val="28"/>
          <w:shd w:val="clear" w:color="auto" w:fill="ffffff"/>
        </w:rPr>
      </w:r>
      <w:r>
        <w:rPr>
          <w:rStyle w:val="739"/>
          <w:bCs/>
          <w:sz w:val="28"/>
          <w:szCs w:val="28"/>
          <w:shd w:val="clear" w:color="auto" w:fill="ffffff"/>
        </w:rPr>
      </w:r>
    </w:p>
    <w:p>
      <w:pPr>
        <w:pStyle w:val="673"/>
        <w:jc w:val="center"/>
        <w:tabs>
          <w:tab w:val="left" w:pos="4830" w:leader="none"/>
        </w:tabs>
        <w:rPr>
          <w:rStyle w:val="739"/>
          <w:b/>
          <w:bCs/>
          <w:sz w:val="28"/>
          <w:szCs w:val="28"/>
        </w:rPr>
      </w:pPr>
      <w:r>
        <w:rPr>
          <w:rStyle w:val="739"/>
          <w:b/>
          <w:bCs/>
          <w:sz w:val="28"/>
          <w:szCs w:val="28"/>
        </w:rPr>
        <w:t xml:space="preserve">В Челябинской области 84,5 тысяч ранее учтенных объектов внесено в реестр недвижимости</w:t>
      </w:r>
      <w:r>
        <w:rPr>
          <w:rStyle w:val="739"/>
          <w:b/>
          <w:bCs/>
          <w:sz w:val="28"/>
          <w:szCs w:val="28"/>
        </w:rPr>
      </w:r>
    </w:p>
    <w:p>
      <w:pPr>
        <w:pStyle w:val="673"/>
        <w:jc w:val="center"/>
        <w:tabs>
          <w:tab w:val="left" w:pos="4830" w:leader="none"/>
        </w:tabs>
        <w:rPr>
          <w:rStyle w:val="739"/>
          <w:b/>
          <w:bCs/>
          <w:sz w:val="28"/>
          <w:szCs w:val="28"/>
        </w:rPr>
      </w:pPr>
      <w:r>
        <w:rPr>
          <w:rStyle w:val="739"/>
          <w:b/>
          <w:bCs/>
          <w:sz w:val="28"/>
          <w:szCs w:val="28"/>
        </w:rPr>
      </w:r>
      <w:r>
        <w:rPr>
          <w:rStyle w:val="739"/>
          <w:b/>
          <w:bCs/>
          <w:sz w:val="28"/>
          <w:szCs w:val="28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/>
          <w:bCs/>
          <w:sz w:val="28"/>
          <w:szCs w:val="28"/>
        </w:rPr>
      </w:pPr>
      <w:r>
        <w:rPr>
          <w:rStyle w:val="739"/>
          <w:b/>
          <w:bCs/>
          <w:sz w:val="28"/>
          <w:szCs w:val="28"/>
        </w:rPr>
        <w:t xml:space="preserve">Управление</w:t>
      </w:r>
      <w:r>
        <w:rPr>
          <w:rStyle w:val="739"/>
          <w:b/>
          <w:bCs/>
          <w:sz w:val="28"/>
          <w:szCs w:val="28"/>
        </w:rPr>
        <w:t xml:space="preserve"> Росреестра по Челябинской области сообщает, что в рамках работы по повышению качества данных Единого государственного реестра недвижимости (ЕГРН)</w:t>
      </w:r>
      <w:r>
        <w:rPr>
          <w:rStyle w:val="739"/>
          <w:b/>
          <w:bCs/>
          <w:sz w:val="28"/>
          <w:szCs w:val="28"/>
        </w:rPr>
        <w:t xml:space="preserve"> на территории региона зарегистрированы права в отношении </w:t>
      </w:r>
      <w:r>
        <w:rPr>
          <w:rStyle w:val="739"/>
          <w:b/>
          <w:bCs/>
          <w:sz w:val="28"/>
          <w:szCs w:val="28"/>
        </w:rPr>
        <w:t xml:space="preserve">84,5</w:t>
      </w:r>
      <w:r>
        <w:rPr>
          <w:rStyle w:val="739"/>
          <w:b/>
          <w:bCs/>
          <w:sz w:val="28"/>
          <w:szCs w:val="28"/>
        </w:rPr>
        <w:t xml:space="preserve"> тысяч ранее учтенных объектов недвижимости.</w:t>
      </w:r>
      <w:r>
        <w:rPr>
          <w:rStyle w:val="739"/>
          <w:b/>
          <w:bCs/>
          <w:sz w:val="28"/>
          <w:szCs w:val="28"/>
        </w:rPr>
      </w:r>
      <w:r>
        <w:rPr>
          <w:rStyle w:val="739"/>
          <w:b/>
          <w:bCs/>
          <w:sz w:val="28"/>
          <w:szCs w:val="28"/>
        </w:rPr>
      </w:r>
    </w:p>
    <w:p>
      <w:pPr>
        <w:pStyle w:val="673"/>
        <w:ind w:firstLine="709"/>
        <w:jc w:val="both"/>
        <w:spacing w:line="17" w:lineRule="atLeast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</w:r>
      <w:r>
        <w:rPr>
          <w:rFonts w:eastAsia="PT Astra Serif"/>
          <w:color w:val="000000"/>
          <w:sz w:val="28"/>
          <w:szCs w:val="28"/>
        </w:rPr>
      </w:r>
    </w:p>
    <w:p>
      <w:pPr>
        <w:pStyle w:val="673"/>
        <w:ind w:firstLine="709"/>
        <w:jc w:val="both"/>
        <w:spacing w:line="17" w:lineRule="atLeast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  <w:t xml:space="preserve">В марте 2020 года </w:t>
      </w:r>
      <w:r>
        <w:rPr>
          <w:rFonts w:eastAsia="PT Astra Serif"/>
          <w:color w:val="000000"/>
          <w:sz w:val="28"/>
          <w:szCs w:val="28"/>
        </w:rPr>
        <w:t xml:space="preserve">по</w:t>
      </w:r>
      <w:r>
        <w:rPr>
          <w:rFonts w:eastAsia="PT Astra Serif"/>
          <w:color w:val="000000"/>
          <w:sz w:val="28"/>
          <w:szCs w:val="28"/>
        </w:rPr>
        <w:t xml:space="preserve"> указ</w:t>
      </w:r>
      <w:r>
        <w:rPr>
          <w:rFonts w:eastAsia="PT Astra Serif"/>
          <w:color w:val="000000"/>
          <w:sz w:val="28"/>
          <w:szCs w:val="28"/>
        </w:rPr>
        <w:t xml:space="preserve">у</w:t>
      </w:r>
      <w:r>
        <w:rPr>
          <w:rFonts w:eastAsia="PT Astra Serif"/>
          <w:color w:val="000000"/>
          <w:sz w:val="28"/>
          <w:szCs w:val="28"/>
        </w:rPr>
        <w:t xml:space="preserve"> Пре</w:t>
      </w:r>
      <w:r>
        <w:rPr>
          <w:rFonts w:eastAsia="PT Astra Serif"/>
          <w:color w:val="000000"/>
          <w:sz w:val="28"/>
          <w:szCs w:val="28"/>
        </w:rPr>
        <w:t xml:space="preserve">зидента РФ об обеспечении достоверности сведений в государственных информационных ресурсах Росреестр приступил к реализации проекта «Полный и точный реестр». Это комплексный план по наполнению ЕГРН полными и точными сведениями. При участии федеральных, рег</w:t>
      </w:r>
      <w:r>
        <w:rPr>
          <w:rFonts w:eastAsia="PT Astra Serif"/>
          <w:color w:val="000000"/>
          <w:sz w:val="28"/>
          <w:szCs w:val="28"/>
        </w:rPr>
        <w:t xml:space="preserve">иональных органов власти и муниципалитетов проводится работа по внесению в ЕГРН сведений об административных границах и границах территориальных зон, проведению комплексных кадастровых работ, выявлению правообладателей ранее учтенных объектов недвижимости.</w:t>
      </w:r>
      <w:r>
        <w:rPr>
          <w:rFonts w:eastAsia="PT Astra Serif"/>
          <w:color w:val="000000"/>
          <w:sz w:val="28"/>
          <w:szCs w:val="28"/>
        </w:rPr>
      </w:r>
    </w:p>
    <w:p>
      <w:pPr>
        <w:pStyle w:val="673"/>
        <w:ind w:firstLine="709"/>
        <w:jc w:val="both"/>
        <w:spacing w:line="17" w:lineRule="atLeast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  <w:t xml:space="preserve">«</w:t>
      </w:r>
      <w:r>
        <w:rPr>
          <w:rFonts w:eastAsia="PT Astra Serif"/>
          <w:i/>
          <w:color w:val="000000"/>
          <w:sz w:val="28"/>
          <w:szCs w:val="28"/>
        </w:rPr>
        <w:t xml:space="preserve">Наполнение ЕГРН точными и достоверными сведениями – одна из приоритетных задач Росреестра. Только на полных и точных данных можно </w:t>
      </w:r>
      <w:r>
        <w:rPr>
          <w:rFonts w:eastAsia="PT Astra Serif"/>
          <w:i/>
          <w:color w:val="000000"/>
          <w:sz w:val="28"/>
          <w:szCs w:val="28"/>
        </w:rPr>
        <w:t xml:space="preserve">оказывать качественные государственные услуги для людей и эффективно управлять территориями. Эту работу мы проводим комплексно в рамках поручений Президента РФ, Правительства РФ и рекомендаций Совета Федерации. Если 5 лет назад в ЕГРН было 48 млн объектов </w:t>
      </w:r>
      <w:r>
        <w:rPr>
          <w:rFonts w:eastAsia="PT Astra Serif"/>
          <w:i/>
          <w:color w:val="000000"/>
          <w:sz w:val="28"/>
          <w:szCs w:val="28"/>
        </w:rPr>
        <w:t xml:space="preserve">без прав, то сегодня эта цифра сократилась до 28,4 млн. Доля таких объектов в ЕГРН – 16,6% по сравнению с 28,9% в начале 2020 года. Такая динамика во многом связана с началом реализации в 2022 году госпрограммы «Национальная система пространственных данных</w:t>
      </w:r>
      <w:r>
        <w:rPr>
          <w:rFonts w:eastAsia="PT Astra Serif"/>
          <w:color w:val="000000"/>
          <w:sz w:val="28"/>
          <w:szCs w:val="28"/>
        </w:rPr>
        <w:t xml:space="preserve">», – </w:t>
      </w:r>
      <w:r>
        <w:rPr>
          <w:rFonts w:eastAsia="PT Astra Serif"/>
          <w:color w:val="000000"/>
          <w:sz w:val="28"/>
          <w:szCs w:val="28"/>
        </w:rPr>
        <w:t xml:space="preserve">комментирует</w:t>
      </w:r>
      <w:r>
        <w:rPr>
          <w:rFonts w:eastAsia="PT Astra Serif"/>
          <w:color w:val="000000"/>
          <w:sz w:val="28"/>
          <w:szCs w:val="28"/>
        </w:rPr>
        <w:t xml:space="preserve"> </w:t>
      </w:r>
      <w:r>
        <w:rPr>
          <w:rFonts w:eastAsia="PT Astra Serif"/>
          <w:b/>
          <w:color w:val="000000"/>
          <w:sz w:val="28"/>
          <w:szCs w:val="28"/>
        </w:rPr>
        <w:t xml:space="preserve">руководитель </w:t>
      </w:r>
      <w:r>
        <w:rPr>
          <w:rFonts w:eastAsia="PT Astra Serif"/>
          <w:b/>
          <w:color w:val="000000"/>
          <w:sz w:val="28"/>
          <w:szCs w:val="28"/>
        </w:rPr>
        <w:t xml:space="preserve">Росреестра</w:t>
      </w:r>
      <w:r>
        <w:rPr>
          <w:rFonts w:eastAsia="PT Astra Serif"/>
          <w:color w:val="000000"/>
          <w:sz w:val="28"/>
          <w:szCs w:val="28"/>
        </w:rPr>
        <w:t xml:space="preserve"> </w:t>
      </w:r>
      <w:r>
        <w:rPr>
          <w:rFonts w:eastAsia="PT Astra Serif"/>
          <w:b/>
          <w:color w:val="000000"/>
          <w:sz w:val="28"/>
          <w:szCs w:val="28"/>
        </w:rPr>
        <w:t xml:space="preserve">Олег Скуфинский.</w:t>
      </w:r>
      <w:r>
        <w:rPr>
          <w:rFonts w:eastAsia="PT Astra Serif"/>
          <w:color w:val="000000"/>
          <w:sz w:val="28"/>
          <w:szCs w:val="28"/>
        </w:rPr>
      </w:r>
      <w:r>
        <w:rPr>
          <w:rFonts w:eastAsia="PT Astra Serif"/>
          <w:color w:val="000000"/>
          <w:sz w:val="28"/>
          <w:szCs w:val="28"/>
        </w:rPr>
      </w:r>
    </w:p>
    <w:p>
      <w:pPr>
        <w:pStyle w:val="673"/>
        <w:ind w:firstLine="709"/>
        <w:jc w:val="both"/>
        <w:spacing w:line="17" w:lineRule="atLeast"/>
        <w:rPr>
          <w:rFonts w:eastAsia="PT Astra Serif"/>
          <w:color w:val="000000"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  <w:t xml:space="preserve">На эффектив</w:t>
      </w:r>
      <w:r>
        <w:rPr>
          <w:rFonts w:eastAsia="PT Astra Serif"/>
          <w:color w:val="000000"/>
          <w:sz w:val="28"/>
          <w:szCs w:val="28"/>
        </w:rPr>
        <w:t xml:space="preserve">ное снижение количества объектов недвижимости без прав повлияла реализация закона о выявлении правообладателей ранее учтённых объектов недвижимости (№ 518-ФЗ), вступившего в силу с июня 2021 года. В ЕГРН внесены сведения о выявленных правообладателях 831 т</w:t>
      </w:r>
      <w:r>
        <w:rPr>
          <w:rFonts w:eastAsia="PT Astra Serif"/>
          <w:color w:val="000000"/>
          <w:sz w:val="28"/>
          <w:szCs w:val="28"/>
        </w:rPr>
        <w:t xml:space="preserve">ыс. объектов недвижи</w:t>
      </w:r>
      <w:r>
        <w:rPr>
          <w:rFonts w:eastAsia="PT Astra Serif"/>
          <w:color w:val="000000"/>
          <w:sz w:val="28"/>
          <w:szCs w:val="28"/>
        </w:rPr>
        <w:t xml:space="preserve">мости, более 2 млн объектов исключены из ЕГРН как прекратившие своё существование. Принятые нормы также простимулировали собственников самостоятельно обратиться с заявлением о регистрации ранее возникшего права. Это позволило оформить более 3 млн объектов.</w:t>
      </w:r>
      <w:r>
        <w:rPr>
          <w:rFonts w:eastAsia="PT Astra Serif"/>
          <w:color w:val="000000"/>
          <w:sz w:val="28"/>
          <w:szCs w:val="28"/>
        </w:rPr>
      </w:r>
    </w:p>
    <w:p>
      <w:pPr>
        <w:pStyle w:val="673"/>
        <w:ind w:firstLine="709"/>
        <w:jc w:val="both"/>
        <w:spacing w:line="17" w:lineRule="atLeast"/>
        <w:rPr>
          <w:rStyle w:val="739"/>
          <w:bCs/>
          <w:sz w:val="28"/>
          <w:szCs w:val="28"/>
        </w:rPr>
      </w:pPr>
      <w:r>
        <w:rPr>
          <w:rFonts w:eastAsia="PT Astra Serif"/>
          <w:color w:val="000000"/>
          <w:sz w:val="28"/>
          <w:szCs w:val="28"/>
        </w:rPr>
        <w:t xml:space="preserve">Что касается Челябинской области, то </w:t>
      </w:r>
      <w:r>
        <w:rPr>
          <w:rFonts w:eastAsia="PT Astra Serif"/>
          <w:color w:val="000000"/>
          <w:sz w:val="28"/>
          <w:szCs w:val="28"/>
        </w:rPr>
        <w:t xml:space="preserve">по сост</w:t>
      </w:r>
      <w:r>
        <w:rPr>
          <w:rFonts w:eastAsia="PT Astra Serif"/>
          <w:color w:val="000000"/>
          <w:sz w:val="28"/>
          <w:szCs w:val="28"/>
        </w:rPr>
        <w:t xml:space="preserve">оянию на </w:t>
      </w:r>
      <w:r>
        <w:rPr>
          <w:rFonts w:eastAsia="PT Astra Serif"/>
          <w:color w:val="000000"/>
          <w:sz w:val="28"/>
          <w:szCs w:val="28"/>
        </w:rPr>
        <w:t xml:space="preserve">1 февр</w:t>
      </w:r>
      <w:r>
        <w:rPr>
          <w:rFonts w:eastAsia="PT Astra Serif"/>
          <w:color w:val="000000"/>
          <w:sz w:val="28"/>
          <w:szCs w:val="28"/>
        </w:rPr>
        <w:t xml:space="preserve">аля 2025 года</w:t>
      </w:r>
      <w:r>
        <w:rPr>
          <w:rFonts w:eastAsia="PT Astra Serif"/>
          <w:color w:val="000000"/>
          <w:sz w:val="28"/>
          <w:szCs w:val="28"/>
        </w:rPr>
        <w:t xml:space="preserve"> из 422 800 объектов недвижимости, в отношении которых в ЕГРН отсутствуют сведения об их правообладателях, проведены работы по 385 189 ранее учтенным объектам. В результате с</w:t>
      </w:r>
      <w:r>
        <w:rPr>
          <w:rFonts w:eastAsia="PT Astra Serif"/>
          <w:color w:val="000000"/>
          <w:sz w:val="28"/>
          <w:szCs w:val="28"/>
        </w:rPr>
        <w:t xml:space="preserve"> </w:t>
      </w:r>
      <w:r>
        <w:rPr>
          <w:rStyle w:val="739"/>
          <w:bCs/>
          <w:sz w:val="28"/>
          <w:szCs w:val="28"/>
        </w:rPr>
        <w:t xml:space="preserve">июня 2021 года </w:t>
      </w:r>
      <w:r>
        <w:rPr>
          <w:rStyle w:val="739"/>
          <w:bCs/>
          <w:sz w:val="28"/>
          <w:szCs w:val="28"/>
        </w:rPr>
        <w:t xml:space="preserve">в регионе</w:t>
      </w:r>
      <w:r>
        <w:rPr>
          <w:rStyle w:val="739"/>
          <w:bCs/>
          <w:sz w:val="28"/>
          <w:szCs w:val="28"/>
        </w:rPr>
        <w:t xml:space="preserve"> осуществлена регистрация ранее возникших прав </w:t>
      </w:r>
      <w:r>
        <w:rPr>
          <w:rStyle w:val="739"/>
          <w:bCs/>
          <w:sz w:val="28"/>
          <w:szCs w:val="28"/>
        </w:rPr>
        <w:t xml:space="preserve">в отношении</w:t>
      </w:r>
      <w:r>
        <w:rPr>
          <w:rStyle w:val="739"/>
          <w:bCs/>
          <w:sz w:val="28"/>
          <w:szCs w:val="28"/>
        </w:rPr>
        <w:t xml:space="preserve"> </w:t>
      </w:r>
      <w:r>
        <w:rPr>
          <w:rStyle w:val="739"/>
          <w:bCs/>
          <w:sz w:val="28"/>
          <w:szCs w:val="28"/>
        </w:rPr>
        <w:t xml:space="preserve">84</w:t>
      </w:r>
      <w:r>
        <w:rPr>
          <w:rStyle w:val="739"/>
          <w:bCs/>
          <w:sz w:val="28"/>
          <w:szCs w:val="28"/>
        </w:rPr>
        <w:t xml:space="preserve"> </w:t>
      </w:r>
      <w:r>
        <w:rPr>
          <w:rStyle w:val="739"/>
          <w:bCs/>
          <w:sz w:val="28"/>
          <w:szCs w:val="28"/>
        </w:rPr>
        <w:t xml:space="preserve">455</w:t>
      </w:r>
      <w:r>
        <w:rPr>
          <w:rStyle w:val="739"/>
          <w:bCs/>
          <w:sz w:val="28"/>
          <w:szCs w:val="28"/>
        </w:rPr>
        <w:t xml:space="preserve"> ранее учтенных объектов недвижимости, </w:t>
      </w:r>
      <w:r>
        <w:rPr>
          <w:rStyle w:val="739"/>
          <w:bCs/>
          <w:sz w:val="28"/>
          <w:szCs w:val="28"/>
        </w:rPr>
        <w:t xml:space="preserve">5</w:t>
      </w:r>
      <w:r>
        <w:rPr>
          <w:rStyle w:val="739"/>
          <w:bCs/>
          <w:sz w:val="28"/>
          <w:szCs w:val="28"/>
        </w:rPr>
        <w:t xml:space="preserve">3 </w:t>
      </w:r>
      <w:r>
        <w:rPr>
          <w:rStyle w:val="739"/>
          <w:bCs/>
          <w:sz w:val="28"/>
          <w:szCs w:val="28"/>
        </w:rPr>
        <w:t xml:space="preserve">3</w:t>
      </w:r>
      <w:r>
        <w:rPr>
          <w:rStyle w:val="739"/>
          <w:bCs/>
          <w:sz w:val="28"/>
          <w:szCs w:val="28"/>
        </w:rPr>
        <w:t xml:space="preserve">82</w:t>
      </w:r>
      <w:r>
        <w:rPr>
          <w:rStyle w:val="739"/>
          <w:bCs/>
          <w:sz w:val="28"/>
          <w:szCs w:val="28"/>
        </w:rPr>
        <w:t xml:space="preserve"> объект</w:t>
      </w:r>
      <w:r>
        <w:rPr>
          <w:rStyle w:val="739"/>
          <w:bCs/>
          <w:sz w:val="28"/>
          <w:szCs w:val="28"/>
        </w:rPr>
        <w:t xml:space="preserve">а</w:t>
      </w:r>
      <w:r>
        <w:rPr>
          <w:rStyle w:val="739"/>
          <w:bCs/>
          <w:sz w:val="28"/>
          <w:szCs w:val="28"/>
        </w:rPr>
        <w:t xml:space="preserve"> были сняты с кадастрового учета по результатам рассмотрения заявлений от органов местного самоуправления</w:t>
      </w:r>
      <w:r>
        <w:rPr>
          <w:rStyle w:val="739"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</w:t>
      </w:r>
      <w:r>
        <w:rPr>
          <w:sz w:val="28"/>
          <w:szCs w:val="28"/>
        </w:rPr>
        <w:t xml:space="preserve"> 34 471 правообладатель в отношен</w:t>
      </w:r>
      <w:r>
        <w:rPr>
          <w:sz w:val="28"/>
          <w:szCs w:val="28"/>
        </w:rPr>
        <w:t xml:space="preserve">ии 31 834 </w:t>
      </w:r>
      <w:r>
        <w:rPr>
          <w:sz w:val="28"/>
          <w:szCs w:val="28"/>
        </w:rPr>
        <w:t xml:space="preserve">объектов недвижимости, </w:t>
      </w:r>
      <w:r>
        <w:rPr>
          <w:sz w:val="28"/>
          <w:szCs w:val="28"/>
        </w:rPr>
        <w:t xml:space="preserve">поставлено на учет в ЕГРН в качестве бесхозяйных – 29 937 объектов.</w:t>
      </w:r>
      <w:r>
        <w:rPr>
          <w:rStyle w:val="739"/>
          <w:bCs/>
          <w:sz w:val="28"/>
          <w:szCs w:val="28"/>
        </w:rPr>
      </w:r>
      <w:r>
        <w:rPr>
          <w:rStyle w:val="739"/>
          <w:bCs/>
          <w:sz w:val="28"/>
          <w:szCs w:val="28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</w:rPr>
      </w:pPr>
      <w:r>
        <w:rPr>
          <w:rStyle w:val="739"/>
          <w:bCs/>
          <w:sz w:val="28"/>
          <w:szCs w:val="28"/>
        </w:rPr>
        <w:t xml:space="preserve">«</w:t>
      </w:r>
      <w:r>
        <w:rPr>
          <w:rStyle w:val="739"/>
          <w:bCs/>
          <w:i/>
          <w:sz w:val="28"/>
          <w:szCs w:val="28"/>
        </w:rPr>
        <w:t xml:space="preserve">В 2025 году </w:t>
      </w:r>
      <w:r>
        <w:rPr>
          <w:rStyle w:val="739"/>
          <w:bCs/>
          <w:i/>
          <w:sz w:val="28"/>
          <w:szCs w:val="28"/>
        </w:rPr>
        <w:t xml:space="preserve">на территории </w:t>
      </w:r>
      <w:r>
        <w:rPr>
          <w:rStyle w:val="739"/>
          <w:bCs/>
          <w:i/>
          <w:sz w:val="28"/>
          <w:szCs w:val="28"/>
        </w:rPr>
        <w:t xml:space="preserve">Челябинской области</w:t>
      </w:r>
      <w:r>
        <w:rPr>
          <w:rStyle w:val="739"/>
          <w:bCs/>
          <w:i/>
          <w:sz w:val="28"/>
          <w:szCs w:val="28"/>
        </w:rPr>
        <w:t xml:space="preserve"> продолжится </w:t>
      </w:r>
      <w:r>
        <w:rPr>
          <w:rStyle w:val="739"/>
          <w:bCs/>
          <w:i/>
          <w:sz w:val="28"/>
          <w:szCs w:val="28"/>
        </w:rPr>
        <w:t xml:space="preserve">работа по выявлению правообладателей ранее учтенных объектов недвижимости</w:t>
      </w:r>
      <w:r>
        <w:rPr>
          <w:rStyle w:val="739"/>
          <w:bCs/>
          <w:sz w:val="28"/>
          <w:szCs w:val="28"/>
        </w:rPr>
        <w:t xml:space="preserve">,</w:t>
      </w:r>
      <w:r>
        <w:rPr>
          <w:rStyle w:val="739"/>
          <w:bCs/>
          <w:sz w:val="28"/>
          <w:szCs w:val="28"/>
        </w:rPr>
        <w:t xml:space="preserve"> – отмечает </w:t>
      </w:r>
      <w:r>
        <w:rPr>
          <w:rStyle w:val="739"/>
          <w:b/>
          <w:bCs/>
          <w:sz w:val="28"/>
          <w:szCs w:val="28"/>
        </w:rPr>
        <w:t xml:space="preserve">заместитель руководителя Управления Росреестра по Челябинской области Ольга Юрченко</w:t>
      </w:r>
      <w:r>
        <w:rPr>
          <w:rStyle w:val="739"/>
          <w:bCs/>
          <w:sz w:val="28"/>
          <w:szCs w:val="28"/>
        </w:rPr>
        <w:t xml:space="preserve">. – </w:t>
      </w:r>
      <w:r>
        <w:rPr>
          <w:rStyle w:val="739"/>
          <w:bCs/>
          <w:i/>
          <w:sz w:val="28"/>
          <w:szCs w:val="28"/>
        </w:rPr>
        <w:t xml:space="preserve">О</w:t>
      </w:r>
      <w:r>
        <w:rPr>
          <w:rStyle w:val="739"/>
          <w:bCs/>
          <w:i/>
          <w:sz w:val="28"/>
          <w:szCs w:val="28"/>
        </w:rPr>
        <w:t xml:space="preserve">днако в нескольких муниципалитетах она уже успешно завершена. В р</w:t>
      </w:r>
      <w:r>
        <w:rPr>
          <w:rStyle w:val="739"/>
          <w:bCs/>
          <w:i/>
          <w:sz w:val="28"/>
          <w:szCs w:val="28"/>
        </w:rPr>
        <w:t xml:space="preserve">езультате в ЕГРН полностью внесена информация в части выявления правообладателей ранее учтенной недвижимости, расположенной в Аргаяшском, Брединском, Нагайбакском, Кизильском, Кунашакском, Октябрьском муниципальных районах и Усть-Катавском городском округе</w:t>
      </w:r>
      <w:r>
        <w:rPr>
          <w:rStyle w:val="739"/>
          <w:bCs/>
          <w:sz w:val="28"/>
          <w:szCs w:val="28"/>
        </w:rPr>
        <w:t xml:space="preserve">»</w:t>
      </w:r>
      <w:r>
        <w:rPr>
          <w:rStyle w:val="739"/>
          <w:bCs/>
          <w:sz w:val="28"/>
          <w:szCs w:val="28"/>
        </w:rPr>
        <w:t xml:space="preserve">.</w:t>
      </w:r>
      <w:r>
        <w:rPr>
          <w:rStyle w:val="739"/>
          <w:bCs/>
          <w:sz w:val="28"/>
          <w:szCs w:val="28"/>
        </w:rPr>
      </w:r>
    </w:p>
    <w:p>
      <w:pPr>
        <w:pStyle w:val="673"/>
        <w:ind w:firstLine="709"/>
        <w:jc w:val="both"/>
        <w:tabs>
          <w:tab w:val="left" w:pos="4830" w:leader="none"/>
        </w:tabs>
        <w:rPr>
          <w:rStyle w:val="739"/>
          <w:bCs/>
          <w:sz w:val="28"/>
          <w:szCs w:val="28"/>
          <w:shd w:val="clear" w:color="auto" w:fill="ffffff"/>
        </w:rPr>
      </w:pPr>
      <w:r>
        <w:rPr>
          <w:rStyle w:val="739"/>
          <w:bCs/>
          <w:sz w:val="28"/>
          <w:szCs w:val="28"/>
        </w:rPr>
        <w:t xml:space="preserve">Напомним</w:t>
      </w:r>
      <w:r>
        <w:rPr>
          <w:rStyle w:val="739"/>
          <w:bCs/>
          <w:sz w:val="28"/>
          <w:szCs w:val="28"/>
        </w:rPr>
        <w:t xml:space="preserve">, что ю</w:t>
      </w:r>
      <w:r>
        <w:rPr>
          <w:rStyle w:val="739"/>
          <w:bCs/>
          <w:sz w:val="28"/>
          <w:szCs w:val="28"/>
          <w:shd w:val="clear" w:color="auto" w:fill="ffffff"/>
        </w:rPr>
        <w:t xml:space="preserve">жноуральцы, имеющие неучтенную недвижимость, могут </w:t>
      </w:r>
      <w:r>
        <w:rPr>
          <w:rStyle w:val="739"/>
          <w:bCs/>
          <w:sz w:val="28"/>
          <w:szCs w:val="28"/>
          <w:shd w:val="clear" w:color="auto" w:fill="ffffff"/>
        </w:rPr>
        <w:t xml:space="preserve">бесплатно </w:t>
      </w:r>
      <w:r>
        <w:rPr>
          <w:rStyle w:val="739"/>
          <w:bCs/>
          <w:sz w:val="28"/>
          <w:szCs w:val="28"/>
          <w:shd w:val="clear" w:color="auto" w:fill="ffffff"/>
        </w:rPr>
        <w:t xml:space="preserve">самостоятельно, не дожидаясь про</w:t>
      </w:r>
      <w:r>
        <w:rPr>
          <w:rStyle w:val="739"/>
          <w:bCs/>
          <w:sz w:val="28"/>
          <w:szCs w:val="28"/>
          <w:shd w:val="clear" w:color="auto" w:fill="ffffff"/>
        </w:rPr>
        <w:t xml:space="preserve">цедуры по выявлению правообладателей, зарегистрировать ранее возникшее право. Для этого необходимо обратиться в МФЦ с паспортом и правоустанавливающими документами (государственный акт, свидетельство, решение уполномоченного органа или организации и т.п.).</w:t>
      </w:r>
      <w:r>
        <w:rPr>
          <w:rStyle w:val="739"/>
          <w:bCs/>
          <w:sz w:val="28"/>
          <w:szCs w:val="28"/>
          <w:shd w:val="clear" w:color="auto" w:fill="ffffff"/>
        </w:rPr>
      </w:r>
    </w:p>
    <w:p>
      <w:pPr>
        <w:pStyle w:val="673"/>
        <w:ind w:firstLine="709"/>
        <w:jc w:val="right"/>
        <w:tabs>
          <w:tab w:val="left" w:pos="4830" w:leader="none"/>
        </w:tabs>
        <w:rPr>
          <w:rStyle w:val="739"/>
          <w:b/>
          <w:bCs/>
          <w:sz w:val="28"/>
          <w:szCs w:val="28"/>
          <w:shd w:val="clear" w:color="auto" w:fill="ffffff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</w:r>
      <w:r>
        <w:rPr>
          <w:rStyle w:val="739"/>
          <w:b/>
          <w:bCs/>
          <w:sz w:val="28"/>
          <w:szCs w:val="28"/>
          <w:shd w:val="clear" w:color="auto" w:fill="ffffff"/>
        </w:rPr>
      </w:r>
    </w:p>
    <w:p>
      <w:pPr>
        <w:pStyle w:val="673"/>
        <w:jc w:val="right"/>
        <w:rPr>
          <w:rStyle w:val="739"/>
          <w:b/>
          <w:bCs/>
          <w:sz w:val="28"/>
          <w:szCs w:val="28"/>
          <w:shd w:val="clear" w:color="auto" w:fill="ffffff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  <w:t xml:space="preserve">Начальник Еткульского отдела</w:t>
      </w:r>
      <w:r>
        <w:rPr>
          <w:rStyle w:val="739"/>
          <w:b/>
          <w:bCs/>
          <w:sz w:val="28"/>
          <w:szCs w:val="28"/>
          <w:shd w:val="clear" w:color="auto" w:fill="ffffff"/>
        </w:rPr>
      </w:r>
    </w:p>
    <w:p>
      <w:pPr>
        <w:jc w:val="right"/>
        <w:rPr>
          <w:rStyle w:val="739"/>
          <w:b/>
          <w:bCs/>
          <w:sz w:val="28"/>
          <w:szCs w:val="28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  <w:t xml:space="preserve">Управления Росреестра по Челябинской области </w:t>
      </w:r>
      <w:r>
        <w:rPr>
          <w:rStyle w:val="739"/>
          <w:b/>
          <w:bCs/>
          <w:sz w:val="28"/>
          <w:szCs w:val="28"/>
        </w:rPr>
      </w:r>
    </w:p>
    <w:p>
      <w:pPr>
        <w:jc w:val="right"/>
        <w:rPr>
          <w:rStyle w:val="739"/>
          <w:b/>
          <w:bCs/>
          <w:sz w:val="28"/>
          <w:szCs w:val="28"/>
        </w:rPr>
      </w:pPr>
      <w:r>
        <w:rPr>
          <w:rStyle w:val="739"/>
          <w:b/>
          <w:bCs/>
          <w:sz w:val="28"/>
          <w:szCs w:val="28"/>
          <w:shd w:val="clear" w:color="auto" w:fill="ffffff"/>
        </w:rPr>
        <w:t xml:space="preserve">Райфигест М.Н.</w:t>
      </w: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709" w:right="567" w:bottom="567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Times New Roman">
    <w:panose1 w:val="020206030504050203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Arial">
    <w:panose1 w:val="020B0604020202020204"/>
  </w:font>
  <w:font w:name="PT Astra Serif">
    <w:panose1 w:val="020A0603040505020204"/>
  </w:font>
  <w:font w:name="Arial Unicode MS">
    <w:panose1 w:val="020B0506020203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7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next w:val="673"/>
    <w:link w:val="673"/>
    <w:qFormat/>
    <w:rPr>
      <w:sz w:val="24"/>
      <w:szCs w:val="24"/>
      <w:lang w:val="ru-RU" w:eastAsia="ru-RU" w:bidi="ar-SA"/>
    </w:rPr>
  </w:style>
  <w:style w:type="paragraph" w:styleId="674">
    <w:name w:val="Заголовок 1"/>
    <w:basedOn w:val="673"/>
    <w:next w:val="674"/>
    <w:link w:val="80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75">
    <w:name w:val="Основной шрифт абзаца"/>
    <w:next w:val="675"/>
    <w:link w:val="673"/>
    <w:uiPriority w:val="1"/>
    <w:unhideWhenUsed/>
  </w:style>
  <w:style w:type="table" w:styleId="676">
    <w:name w:val="Обычная таблица"/>
    <w:next w:val="676"/>
    <w:link w:val="673"/>
    <w:uiPriority w:val="99"/>
    <w:semiHidden/>
    <w:unhideWhenUsed/>
    <w:tblPr/>
  </w:style>
  <w:style w:type="numbering" w:styleId="677">
    <w:name w:val="Нет списка"/>
    <w:next w:val="677"/>
    <w:link w:val="673"/>
    <w:uiPriority w:val="99"/>
    <w:semiHidden/>
    <w:unhideWhenUsed/>
  </w:style>
  <w:style w:type="character" w:styleId="678">
    <w:name w:val="WW8Num1z0"/>
    <w:next w:val="678"/>
    <w:link w:val="673"/>
    <w:rPr>
      <w:rFonts w:ascii="Symbol" w:hAnsi="Symbol" w:cs="Symbol"/>
    </w:rPr>
  </w:style>
  <w:style w:type="character" w:styleId="679">
    <w:name w:val="WW8Num1z1"/>
    <w:next w:val="679"/>
    <w:link w:val="673"/>
    <w:rPr>
      <w:rFonts w:ascii="Courier New" w:hAnsi="Courier New" w:cs="Courier New"/>
    </w:rPr>
  </w:style>
  <w:style w:type="character" w:styleId="680">
    <w:name w:val="WW8Num1z2"/>
    <w:next w:val="680"/>
    <w:link w:val="673"/>
    <w:rPr>
      <w:rFonts w:ascii="Wingdings" w:hAnsi="Wingdings" w:cs="Wingdings"/>
    </w:rPr>
  </w:style>
  <w:style w:type="character" w:styleId="681">
    <w:name w:val="WW8Num2z0"/>
    <w:next w:val="681"/>
    <w:link w:val="673"/>
    <w:rPr>
      <w:rFonts w:ascii="Symbol" w:hAnsi="Symbol" w:cs="Symbol"/>
    </w:rPr>
  </w:style>
  <w:style w:type="character" w:styleId="682">
    <w:name w:val="WW8Num2z1"/>
    <w:next w:val="682"/>
    <w:link w:val="673"/>
    <w:rPr>
      <w:rFonts w:ascii="Courier New" w:hAnsi="Courier New" w:cs="Courier New"/>
    </w:rPr>
  </w:style>
  <w:style w:type="character" w:styleId="683">
    <w:name w:val="WW8Num2z2"/>
    <w:next w:val="683"/>
    <w:link w:val="673"/>
    <w:rPr>
      <w:rFonts w:ascii="Wingdings" w:hAnsi="Wingdings" w:cs="Wingdings"/>
    </w:rPr>
  </w:style>
  <w:style w:type="character" w:styleId="684">
    <w:name w:val="Основной шрифт абзаца13"/>
    <w:next w:val="684"/>
    <w:link w:val="673"/>
  </w:style>
  <w:style w:type="character" w:styleId="685">
    <w:name w:val="WW8Num1z3"/>
    <w:next w:val="685"/>
    <w:link w:val="673"/>
    <w:rPr>
      <w:rFonts w:ascii="Symbol" w:hAnsi="Symbol" w:cs="Symbol"/>
    </w:rPr>
  </w:style>
  <w:style w:type="character" w:styleId="686">
    <w:name w:val="WW8Num1z4"/>
    <w:next w:val="686"/>
    <w:link w:val="673"/>
  </w:style>
  <w:style w:type="character" w:styleId="687">
    <w:name w:val="WW8Num1z5"/>
    <w:next w:val="687"/>
    <w:link w:val="673"/>
  </w:style>
  <w:style w:type="character" w:styleId="688">
    <w:name w:val="WW8Num1z6"/>
    <w:next w:val="688"/>
    <w:link w:val="673"/>
  </w:style>
  <w:style w:type="character" w:styleId="689">
    <w:name w:val="WW8Num1z7"/>
    <w:next w:val="689"/>
    <w:link w:val="673"/>
  </w:style>
  <w:style w:type="character" w:styleId="690">
    <w:name w:val="WW8Num1z8"/>
    <w:next w:val="690"/>
    <w:link w:val="673"/>
  </w:style>
  <w:style w:type="character" w:styleId="691">
    <w:name w:val="Основной шрифт абзаца12"/>
    <w:next w:val="691"/>
    <w:link w:val="673"/>
  </w:style>
  <w:style w:type="character" w:styleId="692">
    <w:name w:val="WW8Num3z0"/>
    <w:next w:val="692"/>
    <w:link w:val="673"/>
  </w:style>
  <w:style w:type="character" w:styleId="693">
    <w:name w:val="WW8Num3z1"/>
    <w:next w:val="693"/>
    <w:link w:val="673"/>
  </w:style>
  <w:style w:type="character" w:styleId="694">
    <w:name w:val="WW8Num3z2"/>
    <w:next w:val="694"/>
    <w:link w:val="673"/>
  </w:style>
  <w:style w:type="character" w:styleId="695">
    <w:name w:val="WW8Num3z3"/>
    <w:next w:val="695"/>
    <w:link w:val="673"/>
  </w:style>
  <w:style w:type="character" w:styleId="696">
    <w:name w:val="WW8Num3z4"/>
    <w:next w:val="696"/>
    <w:link w:val="673"/>
  </w:style>
  <w:style w:type="character" w:styleId="697">
    <w:name w:val="WW8Num3z5"/>
    <w:next w:val="697"/>
    <w:link w:val="673"/>
  </w:style>
  <w:style w:type="character" w:styleId="698">
    <w:name w:val="WW8Num3z6"/>
    <w:next w:val="698"/>
    <w:link w:val="673"/>
  </w:style>
  <w:style w:type="character" w:styleId="699">
    <w:name w:val="WW8Num3z7"/>
    <w:next w:val="699"/>
    <w:link w:val="673"/>
  </w:style>
  <w:style w:type="character" w:styleId="700">
    <w:name w:val="WW8Num3z8"/>
    <w:next w:val="700"/>
    <w:link w:val="673"/>
  </w:style>
  <w:style w:type="character" w:styleId="701">
    <w:name w:val="WW8Num4z0"/>
    <w:next w:val="701"/>
    <w:link w:val="673"/>
    <w:rPr>
      <w:rFonts w:ascii="Symbol" w:hAnsi="Symbol" w:cs="Symbol"/>
    </w:rPr>
  </w:style>
  <w:style w:type="character" w:styleId="702">
    <w:name w:val="WW8Num4z1"/>
    <w:next w:val="702"/>
    <w:link w:val="673"/>
    <w:rPr>
      <w:rFonts w:ascii="Courier New" w:hAnsi="Courier New" w:cs="Courier New"/>
    </w:rPr>
  </w:style>
  <w:style w:type="character" w:styleId="703">
    <w:name w:val="WW8Num4z2"/>
    <w:next w:val="703"/>
    <w:link w:val="673"/>
    <w:rPr>
      <w:rFonts w:ascii="Wingdings" w:hAnsi="Wingdings" w:cs="Wingdings"/>
    </w:rPr>
  </w:style>
  <w:style w:type="character" w:styleId="704">
    <w:name w:val="WW8Num5z0"/>
    <w:next w:val="704"/>
    <w:link w:val="673"/>
    <w:rPr>
      <w:rFonts w:ascii="Symbol" w:hAnsi="Symbol" w:cs="Symbol"/>
    </w:rPr>
  </w:style>
  <w:style w:type="character" w:styleId="705">
    <w:name w:val="WW8Num5z1"/>
    <w:next w:val="705"/>
    <w:link w:val="673"/>
    <w:rPr>
      <w:rFonts w:ascii="Courier New" w:hAnsi="Courier New" w:cs="Courier New"/>
    </w:rPr>
  </w:style>
  <w:style w:type="character" w:styleId="706">
    <w:name w:val="WW8Num5z2"/>
    <w:next w:val="706"/>
    <w:link w:val="673"/>
    <w:rPr>
      <w:rFonts w:ascii="Wingdings" w:hAnsi="Wingdings" w:cs="Wingdings"/>
    </w:rPr>
  </w:style>
  <w:style w:type="character" w:styleId="707">
    <w:name w:val="Основной шрифт абзаца11"/>
    <w:next w:val="707"/>
    <w:link w:val="673"/>
  </w:style>
  <w:style w:type="character" w:styleId="708">
    <w:name w:val="WW8Num6z0"/>
    <w:next w:val="708"/>
    <w:link w:val="673"/>
    <w:rPr>
      <w:rFonts w:ascii="Symbol" w:hAnsi="Symbol" w:cs="Symbol"/>
      <w:sz w:val="20"/>
    </w:rPr>
  </w:style>
  <w:style w:type="character" w:styleId="709">
    <w:name w:val="WW8Num7z0"/>
    <w:next w:val="709"/>
    <w:link w:val="673"/>
    <w:rPr>
      <w:rFonts w:ascii="Symbol" w:hAnsi="Symbol" w:cs="Symbol"/>
      <w:sz w:val="20"/>
    </w:rPr>
  </w:style>
  <w:style w:type="character" w:styleId="710">
    <w:name w:val="WW8Num7z1"/>
    <w:next w:val="710"/>
    <w:link w:val="673"/>
    <w:rPr>
      <w:rFonts w:ascii="Courier New" w:hAnsi="Courier New" w:cs="Times New Roman"/>
      <w:sz w:val="20"/>
    </w:rPr>
  </w:style>
  <w:style w:type="character" w:styleId="711">
    <w:name w:val="WW8Num7z2"/>
    <w:next w:val="711"/>
    <w:link w:val="673"/>
    <w:rPr>
      <w:rFonts w:ascii="Wingdings" w:hAnsi="Wingdings" w:cs="Wingdings"/>
      <w:sz w:val="20"/>
    </w:rPr>
  </w:style>
  <w:style w:type="character" w:styleId="712">
    <w:name w:val="WW8Num8z0"/>
    <w:next w:val="712"/>
    <w:link w:val="673"/>
    <w:rPr>
      <w:rFonts w:ascii="Symbol" w:hAnsi="Symbol" w:cs="Symbol"/>
    </w:rPr>
  </w:style>
  <w:style w:type="character" w:styleId="713">
    <w:name w:val="WW8Num8z1"/>
    <w:next w:val="713"/>
    <w:link w:val="673"/>
    <w:rPr>
      <w:rFonts w:ascii="Courier New" w:hAnsi="Courier New" w:cs="Courier New"/>
    </w:rPr>
  </w:style>
  <w:style w:type="character" w:styleId="714">
    <w:name w:val="WW8Num8z2"/>
    <w:next w:val="714"/>
    <w:link w:val="673"/>
    <w:rPr>
      <w:rFonts w:ascii="Wingdings" w:hAnsi="Wingdings" w:cs="Wingdings"/>
    </w:rPr>
  </w:style>
  <w:style w:type="character" w:styleId="715">
    <w:name w:val="WW8Num9z0"/>
    <w:next w:val="715"/>
    <w:link w:val="673"/>
    <w:rPr>
      <w:rFonts w:ascii="Symbol" w:hAnsi="Symbol" w:cs="Symbol"/>
    </w:rPr>
  </w:style>
  <w:style w:type="character" w:styleId="716">
    <w:name w:val="WW8Num9z1"/>
    <w:next w:val="716"/>
    <w:link w:val="673"/>
    <w:rPr>
      <w:rFonts w:ascii="Courier New" w:hAnsi="Courier New" w:cs="Courier New"/>
    </w:rPr>
  </w:style>
  <w:style w:type="character" w:styleId="717">
    <w:name w:val="WW8Num9z2"/>
    <w:next w:val="717"/>
    <w:link w:val="673"/>
    <w:rPr>
      <w:rFonts w:ascii="Wingdings" w:hAnsi="Wingdings" w:cs="Wingdings"/>
    </w:rPr>
  </w:style>
  <w:style w:type="character" w:styleId="718">
    <w:name w:val="WW8Num10z0"/>
    <w:next w:val="718"/>
    <w:link w:val="673"/>
    <w:rPr>
      <w:rFonts w:ascii="Symbol" w:hAnsi="Symbol" w:cs="Symbol"/>
      <w:sz w:val="20"/>
    </w:rPr>
  </w:style>
  <w:style w:type="character" w:styleId="719">
    <w:name w:val="WW8Num10z1"/>
    <w:next w:val="719"/>
    <w:link w:val="673"/>
    <w:rPr>
      <w:rFonts w:ascii="Courier New" w:hAnsi="Courier New" w:cs="Times New Roman"/>
      <w:sz w:val="20"/>
    </w:rPr>
  </w:style>
  <w:style w:type="character" w:styleId="720">
    <w:name w:val="WW8Num10z2"/>
    <w:next w:val="720"/>
    <w:link w:val="673"/>
    <w:rPr>
      <w:rFonts w:ascii="Wingdings" w:hAnsi="Wingdings" w:cs="Wingdings"/>
      <w:sz w:val="20"/>
    </w:rPr>
  </w:style>
  <w:style w:type="character" w:styleId="721">
    <w:name w:val="WW8Num11z0"/>
    <w:next w:val="721"/>
    <w:link w:val="673"/>
    <w:rPr>
      <w:rFonts w:ascii="Symbol" w:hAnsi="Symbol" w:cs="Symbol"/>
    </w:rPr>
  </w:style>
  <w:style w:type="character" w:styleId="722">
    <w:name w:val="WW8Num11z1"/>
    <w:next w:val="722"/>
    <w:link w:val="673"/>
    <w:rPr>
      <w:rFonts w:ascii="Courier New" w:hAnsi="Courier New" w:cs="Courier New"/>
    </w:rPr>
  </w:style>
  <w:style w:type="character" w:styleId="723">
    <w:name w:val="WW8Num11z2"/>
    <w:next w:val="723"/>
    <w:link w:val="673"/>
    <w:rPr>
      <w:rFonts w:ascii="Wingdings" w:hAnsi="Wingdings" w:cs="Wingdings"/>
    </w:rPr>
  </w:style>
  <w:style w:type="character" w:styleId="724">
    <w:name w:val="WW8Num12z0"/>
    <w:next w:val="724"/>
    <w:link w:val="673"/>
    <w:rPr>
      <w:rFonts w:ascii="Symbol" w:hAnsi="Symbol" w:cs="Symbol"/>
      <w:sz w:val="20"/>
    </w:rPr>
  </w:style>
  <w:style w:type="character" w:styleId="725">
    <w:name w:val="WW8Num12z1"/>
    <w:next w:val="725"/>
    <w:link w:val="673"/>
    <w:rPr>
      <w:rFonts w:ascii="Courier New" w:hAnsi="Courier New" w:cs="Times New Roman"/>
      <w:sz w:val="20"/>
    </w:rPr>
  </w:style>
  <w:style w:type="character" w:styleId="726">
    <w:name w:val="WW8Num12z2"/>
    <w:next w:val="726"/>
    <w:link w:val="673"/>
    <w:rPr>
      <w:rFonts w:ascii="Wingdings" w:hAnsi="Wingdings" w:cs="Wingdings"/>
      <w:sz w:val="20"/>
    </w:rPr>
  </w:style>
  <w:style w:type="character" w:styleId="727">
    <w:name w:val="WW8Num13z0"/>
    <w:next w:val="727"/>
    <w:link w:val="673"/>
  </w:style>
  <w:style w:type="character" w:styleId="728">
    <w:name w:val="Основной шрифт абзаца10"/>
    <w:next w:val="728"/>
    <w:link w:val="673"/>
  </w:style>
  <w:style w:type="character" w:styleId="729">
    <w:name w:val="Основной шрифт абзаца9"/>
    <w:next w:val="729"/>
    <w:link w:val="673"/>
  </w:style>
  <w:style w:type="character" w:styleId="730">
    <w:name w:val="Основной шрифт абзаца8"/>
    <w:next w:val="730"/>
    <w:link w:val="673"/>
  </w:style>
  <w:style w:type="character" w:styleId="731">
    <w:name w:val="Основной шрифт абзаца7"/>
    <w:next w:val="731"/>
    <w:link w:val="673"/>
  </w:style>
  <w:style w:type="character" w:styleId="732">
    <w:name w:val="Основной шрифт абзаца6"/>
    <w:next w:val="732"/>
    <w:link w:val="673"/>
  </w:style>
  <w:style w:type="character" w:styleId="733">
    <w:name w:val="Основной шрифт абзаца5"/>
    <w:next w:val="733"/>
    <w:link w:val="673"/>
  </w:style>
  <w:style w:type="character" w:styleId="734">
    <w:name w:val="Основной шрифт абзаца4"/>
    <w:next w:val="734"/>
    <w:link w:val="673"/>
  </w:style>
  <w:style w:type="character" w:styleId="735">
    <w:name w:val="Основной шрифт абзаца3"/>
    <w:next w:val="735"/>
    <w:link w:val="673"/>
  </w:style>
  <w:style w:type="character" w:styleId="736">
    <w:name w:val="Основной шрифт абзаца2"/>
    <w:next w:val="736"/>
    <w:link w:val="673"/>
  </w:style>
  <w:style w:type="character" w:styleId="737">
    <w:name w:val="Основной шрифт абзаца1"/>
    <w:next w:val="737"/>
    <w:link w:val="673"/>
  </w:style>
  <w:style w:type="character" w:styleId="738">
    <w:name w:val="Гиперссылка"/>
    <w:next w:val="738"/>
    <w:link w:val="673"/>
    <w:uiPriority w:val="99"/>
    <w:rPr>
      <w:u w:val="single"/>
    </w:rPr>
  </w:style>
  <w:style w:type="character" w:styleId="739">
    <w:name w:val="Нет"/>
    <w:next w:val="739"/>
    <w:link w:val="673"/>
  </w:style>
  <w:style w:type="character" w:styleId="740">
    <w:name w:val="Выделение"/>
    <w:next w:val="740"/>
    <w:link w:val="673"/>
    <w:uiPriority w:val="20"/>
    <w:qFormat/>
    <w:rPr>
      <w:i/>
      <w:iCs/>
    </w:rPr>
  </w:style>
  <w:style w:type="character" w:styleId="741">
    <w:name w:val="Основной текст (2)_"/>
    <w:next w:val="741"/>
    <w:link w:val="673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742">
    <w:name w:val="Строгий"/>
    <w:next w:val="742"/>
    <w:link w:val="673"/>
    <w:uiPriority w:val="22"/>
    <w:qFormat/>
    <w:rPr>
      <w:b/>
      <w:bCs/>
    </w:rPr>
  </w:style>
  <w:style w:type="character" w:styleId="743">
    <w:name w:val="Знак примечания1"/>
    <w:next w:val="743"/>
    <w:link w:val="673"/>
    <w:rPr>
      <w:sz w:val="16"/>
      <w:szCs w:val="16"/>
    </w:rPr>
  </w:style>
  <w:style w:type="character" w:styleId="744">
    <w:name w:val="Текст примечания Знак"/>
    <w:next w:val="744"/>
    <w:link w:val="673"/>
    <w:rPr>
      <w:rFonts w:eastAsia="Arial Unicode MS" w:cs="Arial Unicode MS"/>
      <w:color w:val="000000"/>
      <w:lang w:eastAsia="zh-CN"/>
    </w:rPr>
  </w:style>
  <w:style w:type="character" w:styleId="745">
    <w:name w:val="Тема примечания Знак"/>
    <w:next w:val="745"/>
    <w:link w:val="673"/>
    <w:rPr>
      <w:rFonts w:eastAsia="Arial Unicode MS" w:cs="Arial Unicode MS"/>
      <w:b/>
      <w:bCs/>
      <w:color w:val="000000"/>
      <w:lang w:eastAsia="zh-CN"/>
    </w:rPr>
  </w:style>
  <w:style w:type="character" w:styleId="746">
    <w:name w:val="Текст выноски Знак"/>
    <w:next w:val="746"/>
    <w:link w:val="673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747">
    <w:name w:val="Знак примечания2"/>
    <w:next w:val="747"/>
    <w:link w:val="673"/>
    <w:rPr>
      <w:sz w:val="16"/>
      <w:szCs w:val="16"/>
    </w:rPr>
  </w:style>
  <w:style w:type="character" w:styleId="748">
    <w:name w:val="Текст примечания Знак1"/>
    <w:next w:val="748"/>
    <w:link w:val="673"/>
    <w:rPr>
      <w:rFonts w:eastAsia="Arial Unicode MS" w:cs="Arial Unicode MS"/>
      <w:color w:val="000000"/>
      <w:lang w:eastAsia="zh-CN"/>
    </w:rPr>
  </w:style>
  <w:style w:type="character" w:styleId="749">
    <w:name w:val="article_layer__header_date_published"/>
    <w:next w:val="749"/>
    <w:link w:val="673"/>
  </w:style>
  <w:style w:type="character" w:styleId="750">
    <w:name w:val="article_layer__stat_btn"/>
    <w:next w:val="750"/>
    <w:link w:val="673"/>
  </w:style>
  <w:style w:type="character" w:styleId="751">
    <w:name w:val="Основной текст (5)"/>
    <w:next w:val="751"/>
    <w:link w:val="673"/>
    <w:rPr>
      <w:rFonts w:ascii="Times New Roman" w:hAnsi="Times New Roman" w:cs="Times New Roman"/>
      <w:spacing w:val="0"/>
      <w:sz w:val="27"/>
      <w:szCs w:val="27"/>
    </w:rPr>
  </w:style>
  <w:style w:type="character" w:styleId="752">
    <w:name w:val="Текст концевой сноски Знак"/>
    <w:next w:val="752"/>
    <w:link w:val="673"/>
    <w:rPr>
      <w:rFonts w:eastAsia="Arial Unicode MS" w:cs="Arial Unicode MS"/>
      <w:color w:val="000000"/>
      <w:lang w:eastAsia="zh-CN"/>
    </w:rPr>
  </w:style>
  <w:style w:type="character" w:styleId="753">
    <w:name w:val="Символ концевой сноски"/>
    <w:next w:val="753"/>
    <w:link w:val="673"/>
    <w:rPr>
      <w:vertAlign w:val="superscript"/>
    </w:rPr>
  </w:style>
  <w:style w:type="paragraph" w:styleId="754">
    <w:name w:val="Заголовок1"/>
    <w:basedOn w:val="673"/>
    <w:next w:val="755"/>
    <w:link w:val="673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755">
    <w:name w:val="Основной текст"/>
    <w:basedOn w:val="673"/>
    <w:next w:val="755"/>
    <w:link w:val="673"/>
    <w:pPr>
      <w:spacing w:before="0" w:after="140" w:line="276" w:lineRule="auto"/>
    </w:pPr>
  </w:style>
  <w:style w:type="paragraph" w:styleId="756">
    <w:name w:val="Список"/>
    <w:basedOn w:val="755"/>
    <w:next w:val="756"/>
    <w:link w:val="673"/>
    <w:rPr>
      <w:rFonts w:ascii="PT Sans" w:hAnsi="PT Sans" w:cs="Noto Sans Devanagari"/>
    </w:rPr>
  </w:style>
  <w:style w:type="paragraph" w:styleId="757">
    <w:name w:val="Название объекта"/>
    <w:basedOn w:val="673"/>
    <w:next w:val="757"/>
    <w:link w:val="673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58">
    <w:name w:val="Указатель13"/>
    <w:basedOn w:val="673"/>
    <w:next w:val="758"/>
    <w:link w:val="673"/>
    <w:pPr>
      <w:suppressLineNumbers/>
    </w:pPr>
    <w:rPr>
      <w:rFonts w:cs="Mangal"/>
      <w:lang w:val="en-US" w:eastAsia="en-US" w:bidi="en-US"/>
    </w:rPr>
  </w:style>
  <w:style w:type="paragraph" w:styleId="759">
    <w:name w:val="Название объекта12"/>
    <w:basedOn w:val="673"/>
    <w:next w:val="759"/>
    <w:link w:val="673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60">
    <w:name w:val="Указатель12"/>
    <w:basedOn w:val="673"/>
    <w:next w:val="760"/>
    <w:link w:val="673"/>
    <w:pPr>
      <w:suppressLineNumbers/>
    </w:pPr>
    <w:rPr>
      <w:rFonts w:ascii="PT Sans" w:hAnsi="PT Sans" w:cs="Noto Sans Devanagari"/>
    </w:rPr>
  </w:style>
  <w:style w:type="paragraph" w:styleId="761">
    <w:name w:val="Название объекта11"/>
    <w:basedOn w:val="673"/>
    <w:next w:val="761"/>
    <w:link w:val="673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762">
    <w:name w:val="Указатель11"/>
    <w:basedOn w:val="673"/>
    <w:next w:val="762"/>
    <w:link w:val="673"/>
    <w:pPr>
      <w:suppressLineNumbers/>
    </w:pPr>
    <w:rPr>
      <w:rFonts w:ascii="PT Astra Serif" w:hAnsi="PT Astra Serif" w:cs="Noto Sans Devanagari"/>
    </w:rPr>
  </w:style>
  <w:style w:type="paragraph" w:styleId="763">
    <w:name w:val="Название объекта10"/>
    <w:basedOn w:val="673"/>
    <w:next w:val="763"/>
    <w:link w:val="67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4">
    <w:name w:val="Указатель10"/>
    <w:basedOn w:val="673"/>
    <w:next w:val="764"/>
    <w:link w:val="673"/>
    <w:pPr>
      <w:suppressLineNumbers/>
    </w:pPr>
    <w:rPr>
      <w:rFonts w:cs="Arial"/>
    </w:rPr>
  </w:style>
  <w:style w:type="paragraph" w:styleId="765">
    <w:name w:val="Название объекта9"/>
    <w:basedOn w:val="673"/>
    <w:next w:val="765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66">
    <w:name w:val="Указатель9"/>
    <w:basedOn w:val="673"/>
    <w:next w:val="766"/>
    <w:link w:val="673"/>
    <w:pPr>
      <w:suppressLineNumbers/>
    </w:pPr>
    <w:rPr>
      <w:rFonts w:cs="Lucida Sans"/>
    </w:rPr>
  </w:style>
  <w:style w:type="paragraph" w:styleId="767">
    <w:name w:val="Название объекта8"/>
    <w:basedOn w:val="673"/>
    <w:next w:val="767"/>
    <w:link w:val="673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768">
    <w:name w:val="Указатель8"/>
    <w:basedOn w:val="673"/>
    <w:next w:val="768"/>
    <w:link w:val="673"/>
    <w:pPr>
      <w:suppressLineNumbers/>
    </w:pPr>
    <w:rPr>
      <w:rFonts w:cs="Arial"/>
    </w:rPr>
  </w:style>
  <w:style w:type="paragraph" w:styleId="769">
    <w:name w:val="Название объекта7"/>
    <w:basedOn w:val="673"/>
    <w:next w:val="769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0">
    <w:name w:val="Указатель7"/>
    <w:basedOn w:val="673"/>
    <w:next w:val="770"/>
    <w:link w:val="673"/>
    <w:pPr>
      <w:suppressLineNumbers/>
    </w:pPr>
    <w:rPr>
      <w:rFonts w:cs="Lucida Sans"/>
    </w:rPr>
  </w:style>
  <w:style w:type="paragraph" w:styleId="771">
    <w:name w:val="Название объекта6"/>
    <w:basedOn w:val="673"/>
    <w:next w:val="771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2">
    <w:name w:val="Указатель6"/>
    <w:basedOn w:val="673"/>
    <w:next w:val="772"/>
    <w:link w:val="673"/>
    <w:pPr>
      <w:suppressLineNumbers/>
    </w:pPr>
    <w:rPr>
      <w:rFonts w:cs="Lucida Sans"/>
    </w:rPr>
  </w:style>
  <w:style w:type="paragraph" w:styleId="773">
    <w:name w:val="Название объекта5"/>
    <w:basedOn w:val="673"/>
    <w:next w:val="773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4">
    <w:name w:val="Указатель5"/>
    <w:basedOn w:val="673"/>
    <w:next w:val="774"/>
    <w:link w:val="673"/>
    <w:pPr>
      <w:suppressLineNumbers/>
    </w:pPr>
    <w:rPr>
      <w:rFonts w:cs="Lucida Sans"/>
    </w:rPr>
  </w:style>
  <w:style w:type="paragraph" w:styleId="775">
    <w:name w:val="Название объекта4"/>
    <w:basedOn w:val="673"/>
    <w:next w:val="775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6">
    <w:name w:val="Указатель4"/>
    <w:basedOn w:val="673"/>
    <w:next w:val="776"/>
    <w:link w:val="673"/>
    <w:pPr>
      <w:suppressLineNumbers/>
    </w:pPr>
    <w:rPr>
      <w:rFonts w:cs="Lucida Sans"/>
    </w:rPr>
  </w:style>
  <w:style w:type="paragraph" w:styleId="777">
    <w:name w:val="Название объекта3"/>
    <w:basedOn w:val="673"/>
    <w:next w:val="777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78">
    <w:name w:val="Указатель3"/>
    <w:basedOn w:val="673"/>
    <w:next w:val="778"/>
    <w:link w:val="673"/>
    <w:pPr>
      <w:suppressLineNumbers/>
    </w:pPr>
    <w:rPr>
      <w:rFonts w:cs="Lucida Sans"/>
    </w:rPr>
  </w:style>
  <w:style w:type="paragraph" w:styleId="779">
    <w:name w:val="Название объекта2"/>
    <w:basedOn w:val="673"/>
    <w:next w:val="779"/>
    <w:link w:val="673"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780">
    <w:name w:val="Указатель2"/>
    <w:basedOn w:val="673"/>
    <w:next w:val="780"/>
    <w:link w:val="673"/>
    <w:pPr>
      <w:suppressLineNumbers/>
    </w:pPr>
    <w:rPr>
      <w:rFonts w:cs="Lucida Sans"/>
    </w:rPr>
  </w:style>
  <w:style w:type="paragraph" w:styleId="781">
    <w:name w:val="Название объекта1"/>
    <w:basedOn w:val="673"/>
    <w:next w:val="781"/>
    <w:link w:val="673"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782">
    <w:name w:val="Указатель1"/>
    <w:basedOn w:val="673"/>
    <w:next w:val="782"/>
    <w:link w:val="673"/>
    <w:pPr>
      <w:suppressLineNumbers/>
    </w:pPr>
    <w:rPr>
      <w:rFonts w:ascii="PT Sans" w:hAnsi="PT Sans" w:cs="Noto Sans Devanagari"/>
    </w:rPr>
  </w:style>
  <w:style w:type="paragraph" w:styleId="783">
    <w:name w:val="Верхн./нижн. кол."/>
    <w:next w:val="783"/>
    <w:link w:val="673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784">
    <w:name w:val="Body Text"/>
    <w:next w:val="784"/>
    <w:link w:val="673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785">
    <w:name w:val="Обычный (веб)1"/>
    <w:next w:val="785"/>
    <w:link w:val="673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86">
    <w:name w:val="Верхний и нижний колонтитулы"/>
    <w:basedOn w:val="673"/>
    <w:next w:val="786"/>
    <w:link w:val="673"/>
    <w:pPr>
      <w:tabs>
        <w:tab w:val="center" w:pos="4819" w:leader="none"/>
        <w:tab w:val="right" w:pos="9638" w:leader="none"/>
      </w:tabs>
      <w:suppressLineNumbers/>
    </w:pPr>
  </w:style>
  <w:style w:type="paragraph" w:styleId="787">
    <w:name w:val="Колонтитул"/>
    <w:basedOn w:val="673"/>
    <w:next w:val="787"/>
    <w:link w:val="673"/>
    <w:pPr>
      <w:tabs>
        <w:tab w:val="center" w:pos="4819" w:leader="none"/>
        <w:tab w:val="right" w:pos="9638" w:leader="none"/>
      </w:tabs>
      <w:suppressLineNumbers/>
    </w:pPr>
  </w:style>
  <w:style w:type="paragraph" w:styleId="788">
    <w:name w:val="Нижний колонтитул"/>
    <w:basedOn w:val="786"/>
    <w:next w:val="788"/>
    <w:link w:val="673"/>
    <w:pPr>
      <w:suppressLineNumbers/>
    </w:pPr>
  </w:style>
  <w:style w:type="paragraph" w:styleId="789">
    <w:name w:val="Верхний колонтитул"/>
    <w:basedOn w:val="786"/>
    <w:next w:val="789"/>
    <w:link w:val="673"/>
    <w:pPr>
      <w:suppressLineNumbers/>
    </w:pPr>
  </w:style>
  <w:style w:type="paragraph" w:styleId="790">
    <w:name w:val="Абзац списка"/>
    <w:basedOn w:val="673"/>
    <w:next w:val="790"/>
    <w:link w:val="673"/>
    <w:qFormat/>
    <w:pPr>
      <w:contextualSpacing/>
      <w:ind w:left="720" w:right="0" w:firstLine="0"/>
      <w:spacing w:before="0" w:after="160" w:line="252" w:lineRule="auto"/>
    </w:pPr>
    <w:rPr>
      <w:rFonts w:ascii="Calibri" w:hAnsi="Calibri" w:eastAsia="Calibri" w:cs="Times New Roman"/>
      <w:color w:val="000000"/>
      <w:sz w:val="22"/>
      <w:szCs w:val="22"/>
    </w:rPr>
  </w:style>
  <w:style w:type="paragraph" w:styleId="791">
    <w:name w:val="western"/>
    <w:basedOn w:val="673"/>
    <w:next w:val="791"/>
    <w:link w:val="673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792">
    <w:name w:val="Текст примечания1"/>
    <w:basedOn w:val="673"/>
    <w:next w:val="792"/>
    <w:link w:val="673"/>
    <w:rPr>
      <w:rFonts w:cs="Times New Roman"/>
      <w:sz w:val="20"/>
      <w:szCs w:val="20"/>
      <w:lang w:val="en-US"/>
    </w:rPr>
  </w:style>
  <w:style w:type="paragraph" w:styleId="793">
    <w:name w:val="Тема примечания"/>
    <w:basedOn w:val="792"/>
    <w:next w:val="792"/>
    <w:link w:val="673"/>
    <w:rPr>
      <w:b/>
      <w:bCs/>
    </w:rPr>
  </w:style>
  <w:style w:type="paragraph" w:styleId="794">
    <w:name w:val="Текст выноски"/>
    <w:basedOn w:val="673"/>
    <w:next w:val="794"/>
    <w:link w:val="673"/>
    <w:rPr>
      <w:rFonts w:ascii="Segoe UI" w:hAnsi="Segoe UI" w:cs="Times New Roman"/>
      <w:sz w:val="18"/>
      <w:szCs w:val="18"/>
      <w:lang w:val="en-US"/>
    </w:rPr>
  </w:style>
  <w:style w:type="paragraph" w:styleId="795">
    <w:name w:val="Без интервала1"/>
    <w:next w:val="795"/>
    <w:link w:val="673"/>
    <w:rPr>
      <w:rFonts w:ascii="Calibri" w:hAnsi="Calibri" w:cs="Calibri"/>
      <w:sz w:val="22"/>
      <w:szCs w:val="22"/>
      <w:lang w:val="ru-RU" w:eastAsia="zh-CN" w:bidi="ar-SA"/>
    </w:rPr>
  </w:style>
  <w:style w:type="paragraph" w:styleId="796">
    <w:name w:val="ConsPlusNormal"/>
    <w:next w:val="796"/>
    <w:link w:val="673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797">
    <w:name w:val="Default"/>
    <w:next w:val="797"/>
    <w:link w:val="673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798">
    <w:name w:val="Standard"/>
    <w:next w:val="798"/>
    <w:link w:val="673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799">
    <w:name w:val="Text body"/>
    <w:basedOn w:val="798"/>
    <w:next w:val="799"/>
    <w:link w:val="673"/>
    <w:pPr>
      <w:jc w:val="both"/>
      <w:spacing w:before="0" w:after="0" w:line="240" w:lineRule="auto"/>
      <w:widowControl w:val="off"/>
    </w:pPr>
    <w:rPr>
      <w:rFonts w:ascii="PT Astra Serif" w:hAnsi="PT Astra Serif" w:eastAsia="Source Han Sans CN Regular" w:cs="PT Astra Serif"/>
      <w:sz w:val="28"/>
      <w:szCs w:val="24"/>
    </w:rPr>
  </w:style>
  <w:style w:type="paragraph" w:styleId="800">
    <w:name w:val="Обычный (веб)"/>
    <w:basedOn w:val="673"/>
    <w:next w:val="800"/>
    <w:link w:val="673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801">
    <w:name w:val="Текст примечания2"/>
    <w:basedOn w:val="673"/>
    <w:next w:val="801"/>
    <w:link w:val="673"/>
    <w:rPr>
      <w:rFonts w:cs="Times New Roman"/>
      <w:sz w:val="20"/>
      <w:szCs w:val="20"/>
      <w:lang w:val="en-US"/>
    </w:rPr>
  </w:style>
  <w:style w:type="paragraph" w:styleId="802">
    <w:name w:val="Содержимое таблицы"/>
    <w:basedOn w:val="673"/>
    <w:next w:val="802"/>
    <w:link w:val="673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803">
    <w:name w:val="Текст концевой сноски"/>
    <w:basedOn w:val="673"/>
    <w:next w:val="803"/>
    <w:link w:val="673"/>
    <w:rPr>
      <w:rFonts w:cs="Times New Roman"/>
      <w:sz w:val="20"/>
      <w:szCs w:val="20"/>
      <w:lang w:val="en-US"/>
    </w:rPr>
  </w:style>
  <w:style w:type="paragraph" w:styleId="804">
    <w:name w:val="Основной текст с отступом 31"/>
    <w:basedOn w:val="673"/>
    <w:next w:val="804"/>
    <w:link w:val="673"/>
    <w:pPr>
      <w:ind w:left="283" w:right="0" w:firstLine="0"/>
      <w:spacing w:before="0" w:after="120"/>
    </w:pPr>
    <w:rPr>
      <w:rFonts w:eastAsia="Times New Roman" w:cs="Times New Roman"/>
      <w:color w:val="000000"/>
      <w:sz w:val="16"/>
      <w:szCs w:val="16"/>
    </w:rPr>
  </w:style>
  <w:style w:type="paragraph" w:styleId="805">
    <w:name w:val="no-indent"/>
    <w:basedOn w:val="673"/>
    <w:next w:val="805"/>
    <w:link w:val="673"/>
    <w:pPr>
      <w:spacing w:before="100" w:beforeAutospacing="1" w:after="100" w:afterAutospacing="1"/>
    </w:pPr>
  </w:style>
  <w:style w:type="character" w:styleId="806">
    <w:name w:val="Заголовок 1 Знак"/>
    <w:next w:val="806"/>
    <w:link w:val="674"/>
    <w:uiPriority w:val="9"/>
    <w:rPr>
      <w:b/>
      <w:bCs/>
      <w:sz w:val="48"/>
      <w:szCs w:val="48"/>
    </w:rPr>
  </w:style>
  <w:style w:type="character" w:styleId="956" w:default="1">
    <w:name w:val="Default Paragraph Font"/>
    <w:uiPriority w:val="1"/>
    <w:semiHidden/>
    <w:unhideWhenUsed/>
  </w:style>
  <w:style w:type="numbering" w:styleId="957" w:default="1">
    <w:name w:val="No List"/>
    <w:uiPriority w:val="99"/>
    <w:semiHidden/>
    <w:unhideWhenUsed/>
  </w:style>
  <w:style w:type="table" w:styleId="95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revision>110</cp:revision>
  <dcterms:created xsi:type="dcterms:W3CDTF">2024-08-16T10:03:00Z</dcterms:created>
  <dcterms:modified xsi:type="dcterms:W3CDTF">2025-03-18T09:18:45Z</dcterms:modified>
  <cp:version>983040</cp:version>
</cp:coreProperties>
</file>